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2662B0" w:rsidTr="002662B0">
        <w:trPr>
          <w:trHeight w:val="127"/>
        </w:trPr>
        <w:tc>
          <w:tcPr>
            <w:tcW w:w="10632" w:type="dxa"/>
          </w:tcPr>
          <w:p w:rsidR="0085476D" w:rsidRDefault="008F52A5" w:rsidP="002662B0">
            <w:pPr>
              <w:tabs>
                <w:tab w:val="left" w:pos="318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76D">
              <w:rPr>
                <w:rFonts w:ascii="Times New Roman" w:hAnsi="Times New Roman" w:cs="Times New Roman"/>
                <w:b/>
                <w:noProof/>
                <w:sz w:val="14"/>
                <w:szCs w:val="14"/>
                <w:lang w:eastAsia="ru-RU"/>
              </w:rPr>
              <w:drawing>
                <wp:anchor distT="0" distB="0" distL="114300" distR="114300" simplePos="0" relativeHeight="251658239" behindDoc="1" locked="0" layoutInCell="1" allowOverlap="1" wp14:anchorId="3203679C" wp14:editId="47AAA151">
                  <wp:simplePos x="0" y="0"/>
                  <wp:positionH relativeFrom="column">
                    <wp:posOffset>-276909</wp:posOffset>
                  </wp:positionH>
                  <wp:positionV relativeFrom="paragraph">
                    <wp:posOffset>-527507</wp:posOffset>
                  </wp:positionV>
                  <wp:extent cx="1626829" cy="2110153"/>
                  <wp:effectExtent l="0" t="0" r="0" b="4445"/>
                  <wp:wrapNone/>
                  <wp:docPr id="1026" name="Picture 2" descr="C:\Users\8600-9~1\AppData\Local\Temp\Rar$DIa6728.24573\FNS_logo_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8600-9~1\AppData\Local\Temp\Rar$DIa6728.24573\FNS_logo_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29" cy="211015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476D" w:rsidRPr="0085476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626796" wp14:editId="132CA004">
                      <wp:simplePos x="0" y="0"/>
                      <wp:positionH relativeFrom="column">
                        <wp:posOffset>1108774</wp:posOffset>
                      </wp:positionH>
                      <wp:positionV relativeFrom="paragraph">
                        <wp:posOffset>165267</wp:posOffset>
                      </wp:positionV>
                      <wp:extent cx="5501982" cy="502920"/>
                      <wp:effectExtent l="0" t="0" r="0" b="0"/>
                      <wp:wrapNone/>
                      <wp:docPr id="11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1982" cy="5029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057B2D" w:rsidRPr="00057B2D" w:rsidRDefault="0085476D" w:rsidP="008547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b/>
                                      <w:bCs/>
                                      <w:iCs/>
                                      <w:color w:val="17365D" w:themeColor="text2" w:themeShade="BF"/>
                                      <w:kern w:val="24"/>
                                      <w:sz w:val="26"/>
                                      <w:szCs w:val="26"/>
                                    </w:rPr>
                                  </w:pPr>
                                  <w:r w:rsidRPr="00057B2D">
                                    <w:rPr>
                                      <w:b/>
                                      <w:bCs/>
                                      <w:iCs/>
                                      <w:color w:val="17365D" w:themeColor="text2" w:themeShade="BF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УПРАВЛЕНИЕ ФЕДЕРАЛЬНОЙ НАЛОГОВОЙ СЛУЖБЫ </w:t>
                                  </w:r>
                                </w:p>
                                <w:p w:rsidR="0085476D" w:rsidRPr="00057B2D" w:rsidRDefault="0085476D" w:rsidP="008547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057B2D">
                                    <w:rPr>
                                      <w:b/>
                                      <w:bCs/>
                                      <w:iCs/>
                                      <w:color w:val="17365D" w:themeColor="text2" w:themeShade="BF"/>
                                      <w:kern w:val="24"/>
                                      <w:sz w:val="26"/>
                                      <w:szCs w:val="26"/>
                                    </w:rPr>
                                    <w:t>ПО ХАНТЫ-МАНСИЙСКОМУ АВТОНОМНОМУ ОКРУГУ-ЮГРЕ</w:t>
                                  </w:r>
                                </w:p>
                              </w:txbxContent>
                            </wps:txbx>
                            <wps:bodyPr wrap="square" lIns="71536" tIns="35768" rIns="71536" bIns="35768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0" o:spid="_x0000_s1026" style="position:absolute;left:0;text-align:left;margin-left:87.3pt;margin-top:13pt;width:433.25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2HEwQEAADYDAAAOAAAAZHJzL2Uyb0RvYy54bWysUs1qGzEQvhfyDkL3eH/COsnidQiElEJp&#10;A2kfQNZKXsHqp5LsXd8KvRb6CH2IXkra5hnkN+pIcW3T3kouI41m9M1838zsapQ9WjPrhFYNLiY5&#10;RkxR3Qq1bPD7d7enFxg5T1RLeq1YgzfM4av5yYvZYGpW6k73LbMIQJSrB9PgzntTZ5mjHZPETbRh&#10;CoJcW0k8uHaZtZYMgC77rMzzaTZo2xqrKXMOXm+egnie8Dln1L/l3DGP+gZDbz5Zm+wi2mw+I/XS&#10;EtMJumuD/EcXkggFRfdQN8QTtLLiHygpqNVOcz+hWmaac0FZ4gBsivwvNvcdMSxxAXGc2cvkng+W&#10;vlnfWSRamF2BkSISZhS+bj9uv4Sf4XH7KXwLj+HH9nP4Fb6HB1QkxQbjavh4b+4s6Bc9B9dIf+RW&#10;xhOIoTGpvNmrzEaPKDxWVV5cXpQYUYhVeXlZJtDs8NtY518yLVG8NNjCFJO4ZP3aeagIqX9SwDnU&#10;jzc/LsZdUwvdboDcANNtsPuwIpZh1L9SIN95UZ1NYR2Sc1adT2FN7XFkcRSJhJy5Xnl9K1L5WOcJ&#10;fFcehpO62i1SnP6xn7IO6z7/DQAA//8DAFBLAwQUAAYACAAAACEApgx9C+EAAAALAQAADwAAAGRy&#10;cy9kb3ducmV2LnhtbEyPTUvDQBCG74L/YRnBi9hNYhNDzKYEtQdBEFsRj9vs5AOzsyG7bdJ/381J&#10;b/MyD+9Hvpl1z0442s6QgHAVAEOqjOqoEfC1396nwKyTpGRvCAWc0cKmuL7KZabMRJ942rmGeROy&#10;mRTQOjdknNuqRS3tygxI/lebUUvn5dhwNcrJm+ueR0GQcC078gmtHPC5xep3d9QCppfxvX6NH+qP&#10;n/33XfoWV+W5TIW4vZnLJ2AOZ/cHw1LfV4fCdzqYIynLeq8f14lHBUSJ37QAwToMgR2WK46AFzn/&#10;v6G4AAAA//8DAFBLAQItABQABgAIAAAAIQC2gziS/gAAAOEBAAATAAAAAAAAAAAAAAAAAAAAAABb&#10;Q29udGVudF9UeXBlc10ueG1sUEsBAi0AFAAGAAgAAAAhADj9If/WAAAAlAEAAAsAAAAAAAAAAAAA&#10;AAAALwEAAF9yZWxzLy5yZWxzUEsBAi0AFAAGAAgAAAAhAJzPYcTBAQAANgMAAA4AAAAAAAAAAAAA&#10;AAAALgIAAGRycy9lMm9Eb2MueG1sUEsBAi0AFAAGAAgAAAAhAKYMfQvhAAAACwEAAA8AAAAAAAAA&#10;AAAAAAAAGwQAAGRycy9kb3ducmV2LnhtbFBLBQYAAAAABAAEAPMAAAApBQAAAAA=&#10;" filled="f" stroked="f">
                      <v:textbox style="mso-fit-shape-to-text:t" inset="1.98711mm,.99356mm,1.98711mm,.99356mm">
                        <w:txbxContent>
                          <w:p w:rsidR="00057B2D" w:rsidRPr="00057B2D" w:rsidRDefault="0085476D" w:rsidP="008547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b/>
                                <w:bCs/>
                                <w:iCs/>
                                <w:color w:val="17365D" w:themeColor="text2" w:themeShade="BF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057B2D">
                              <w:rPr>
                                <w:b/>
                                <w:bCs/>
                                <w:iCs/>
                                <w:color w:val="17365D" w:themeColor="text2" w:themeShade="BF"/>
                                <w:kern w:val="24"/>
                                <w:sz w:val="26"/>
                                <w:szCs w:val="26"/>
                              </w:rPr>
                              <w:t xml:space="preserve">УПРАВЛЕНИЕ ФЕДЕРАЛЬНОЙ НАЛОГОВОЙ СЛУЖБЫ </w:t>
                            </w:r>
                          </w:p>
                          <w:p w:rsidR="0085476D" w:rsidRPr="00057B2D" w:rsidRDefault="0085476D" w:rsidP="008547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057B2D">
                              <w:rPr>
                                <w:b/>
                                <w:bCs/>
                                <w:iCs/>
                                <w:color w:val="17365D" w:themeColor="text2" w:themeShade="BF"/>
                                <w:kern w:val="24"/>
                                <w:sz w:val="26"/>
                                <w:szCs w:val="26"/>
                              </w:rPr>
                              <w:t>ПО ХАНТЫ-МАНСИЙСКОМУ АВТОНОМНОМУ ОКРУГУ-ЮГРЕ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5476D" w:rsidRDefault="0085476D" w:rsidP="0085476D">
            <w:pPr>
              <w:tabs>
                <w:tab w:val="left" w:pos="318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76D" w:rsidRPr="0085476D" w:rsidRDefault="0085476D" w:rsidP="0085476D">
            <w:pPr>
              <w:pStyle w:val="a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85476D" w:rsidRDefault="0085476D" w:rsidP="0085476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76D">
              <w:rPr>
                <w:rFonts w:ascii="Times New Roman" w:hAnsi="Times New Roman" w:cs="Times New Roman"/>
                <w:b/>
                <w:sz w:val="28"/>
                <w:szCs w:val="28"/>
              </w:rPr>
              <w:t>ПАМЯТКА</w:t>
            </w:r>
          </w:p>
          <w:p w:rsidR="0085476D" w:rsidRPr="0085476D" w:rsidRDefault="0085476D" w:rsidP="0085476D">
            <w:pPr>
              <w:pStyle w:val="a7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2662B0" w:rsidRDefault="002662B0" w:rsidP="0085476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76D">
              <w:rPr>
                <w:rFonts w:ascii="Times New Roman" w:hAnsi="Times New Roman" w:cs="Times New Roman"/>
                <w:b/>
                <w:sz w:val="28"/>
                <w:szCs w:val="28"/>
              </w:rPr>
              <w:t>ОБ АЗАРТНЫХ ИГРАХ</w:t>
            </w:r>
          </w:p>
          <w:p w:rsidR="0085476D" w:rsidRPr="0085476D" w:rsidRDefault="0085476D" w:rsidP="0085476D">
            <w:pPr>
              <w:pStyle w:val="a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2662B0" w:rsidRPr="002662B0" w:rsidRDefault="002662B0" w:rsidP="002662B0">
            <w:pPr>
              <w:tabs>
                <w:tab w:val="left" w:pos="318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Как известно, одним из опасных последствий незаконного игорного бизнеса является развитие психической зависимости - игромании – у лиц, которые приобщились к азартным играм, что представляет опасность общественной нравственности и здоровью населения.</w:t>
            </w:r>
          </w:p>
          <w:p w:rsidR="00EB2303" w:rsidRPr="002662B0" w:rsidRDefault="002662B0" w:rsidP="00EB2303">
            <w:pPr>
              <w:tabs>
                <w:tab w:val="left" w:pos="318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В целях противодействия негативному явлению Федеральным законом Российской Федерации от 29.12.2006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(далее – Федеральный закон от 29.12.2006 № 244-ФЗ) игорный бизнес признан незаконным</w:t>
            </w:r>
            <w:r w:rsidR="00EB2303">
              <w:rPr>
                <w:rFonts w:ascii="Times New Roman" w:hAnsi="Times New Roman" w:cs="Times New Roman"/>
                <w:sz w:val="25"/>
                <w:szCs w:val="25"/>
              </w:rPr>
              <w:t xml:space="preserve"> вне игорных зон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EB2303"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Создание </w:t>
            </w:r>
            <w:r w:rsidR="00EB2303" w:rsidRPr="002662B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игровых зон </w:t>
            </w:r>
            <w:r w:rsidR="00EB2303" w:rsidRPr="002662B0">
              <w:rPr>
                <w:rFonts w:ascii="Times New Roman" w:hAnsi="Times New Roman" w:cs="Times New Roman"/>
                <w:sz w:val="25"/>
                <w:szCs w:val="25"/>
              </w:rPr>
              <w:t>допускается только на территориях следующих субъектов Российской Федерации: Республика Крым, Алтайский край, Краснодарский край, Приморский край, Калининградская область.</w:t>
            </w:r>
          </w:p>
          <w:p w:rsidR="002662B0" w:rsidRPr="002662B0" w:rsidRDefault="002662B0" w:rsidP="002662B0">
            <w:pPr>
              <w:tabs>
                <w:tab w:val="left" w:pos="318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Кроме того, данным законом даны основные понятия.</w:t>
            </w:r>
          </w:p>
          <w:p w:rsidR="002662B0" w:rsidRPr="002662B0" w:rsidRDefault="002662B0" w:rsidP="002662B0">
            <w:pPr>
              <w:tabs>
                <w:tab w:val="left" w:pos="318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b/>
                <w:sz w:val="25"/>
                <w:szCs w:val="25"/>
              </w:rPr>
              <w:t>Азартная игра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– основанное на риске соглашение о выигрыше, заключенное двумя или несколькими участниками соглашения между собой либо с организатором азартной игры по правилам, установленным организатором азартной игры.</w:t>
            </w:r>
          </w:p>
          <w:p w:rsidR="002662B0" w:rsidRPr="002662B0" w:rsidRDefault="002662B0" w:rsidP="002662B0">
            <w:pPr>
              <w:tabs>
                <w:tab w:val="left" w:pos="318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 организации и проведению азартных игр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– деятельность по оказанию услуг по заключению и (или) по организации заключения соглашений о выигрыше.</w:t>
            </w:r>
          </w:p>
          <w:p w:rsidR="002662B0" w:rsidRPr="002662B0" w:rsidRDefault="002662B0" w:rsidP="002662B0">
            <w:pPr>
              <w:tabs>
                <w:tab w:val="left" w:pos="318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b/>
                <w:sz w:val="25"/>
                <w:szCs w:val="25"/>
              </w:rPr>
              <w:t>Игровое оборудование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– устройства или приспособления, используемые для проведения азартных игр. Большинство «подпольных» игорных заведений используют контрафактное игорное оборудование, возможность выигрыша на котором практически невозможна.</w:t>
            </w:r>
          </w:p>
          <w:p w:rsidR="002662B0" w:rsidRPr="002662B0" w:rsidRDefault="002662B0" w:rsidP="002662B0">
            <w:pPr>
              <w:tabs>
                <w:tab w:val="left" w:pos="318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Деятельность по организации и проведению азартных игр в таких игорных заведениях как </w:t>
            </w:r>
            <w:r w:rsidRPr="002662B0">
              <w:rPr>
                <w:rFonts w:ascii="Times New Roman" w:hAnsi="Times New Roman" w:cs="Times New Roman"/>
                <w:b/>
                <w:sz w:val="25"/>
                <w:szCs w:val="25"/>
              </w:rPr>
              <w:t>букмекерские конторы, тотализаторы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, их пунктах приема ставок может быть организована и вне игровых зон, однако </w:t>
            </w:r>
            <w:r w:rsidRPr="002662B0">
              <w:rPr>
                <w:rFonts w:ascii="Times New Roman" w:hAnsi="Times New Roman" w:cs="Times New Roman"/>
                <w:b/>
                <w:sz w:val="25"/>
                <w:szCs w:val="25"/>
              </w:rPr>
              <w:t>исключительно на основании лицензий.</w:t>
            </w:r>
          </w:p>
          <w:p w:rsidR="002662B0" w:rsidRPr="002662B0" w:rsidRDefault="002662B0" w:rsidP="002662B0">
            <w:pPr>
              <w:tabs>
                <w:tab w:val="left" w:pos="318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За незаконную организацию и (или) проведение азартных игр с использованием игрового оборудования вне игорной зоны, либо с использованием информационно-телекоммуникационных сетей, в том числе «Интернет», а также средств связи, в том числе подвижной связи, либо без полученного в установленном порядке разрешения на осуществление деятельности по организации и проведению</w:t>
            </w:r>
            <w:bookmarkStart w:id="0" w:name="_GoBack"/>
            <w:bookmarkEnd w:id="0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азартных игр в игорной зоне </w:t>
            </w:r>
            <w:r w:rsidRPr="002662B0">
              <w:rPr>
                <w:rFonts w:ascii="Times New Roman" w:hAnsi="Times New Roman" w:cs="Times New Roman"/>
                <w:b/>
                <w:sz w:val="25"/>
                <w:szCs w:val="25"/>
              </w:rPr>
              <w:t>установлена административная ответственность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для </w:t>
            </w:r>
            <w:r w:rsidRPr="002662B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юридических лиц 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по статье</w:t>
            </w:r>
            <w:proofErr w:type="gramEnd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14.1.1 Кодекса Российской Федерации об административных правонарушениях, предусмотрен штраф в размере от восьмисот тысяч до одного миллиона пятисот тысяч рублей с конфискацией игрового оборудования.</w:t>
            </w:r>
          </w:p>
          <w:p w:rsidR="002662B0" w:rsidRPr="002662B0" w:rsidRDefault="002662B0" w:rsidP="002662B0">
            <w:pPr>
              <w:tabs>
                <w:tab w:val="left" w:pos="318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За незаконные организацию и проведение азартных игр </w:t>
            </w:r>
            <w:r w:rsidRPr="002662B0">
              <w:rPr>
                <w:rFonts w:ascii="Times New Roman" w:hAnsi="Times New Roman" w:cs="Times New Roman"/>
                <w:b/>
                <w:sz w:val="25"/>
                <w:szCs w:val="25"/>
              </w:rPr>
              <w:t>физические лица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подлежат </w:t>
            </w:r>
            <w:r w:rsidRPr="002662B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уголовной ответственности 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по статье 171.2 Уголовного кодекса Российской Федерации, согласно которой незаконные организация или проведение азартных игр с использованием игрового оборудования вне игорной зоны, наказываются штрафом в размере от 300 тысяч до 500 тысяч рублей или в размере заработной платы или иного дохода осужденного за период от одного года до</w:t>
            </w:r>
            <w:proofErr w:type="gramEnd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трех лет, либо обязательными работами на срок от 180 до 240 часов, либо ограничением свободы на срок до 4 лет, либо лишением свободы на срок до 2 лет.</w:t>
            </w:r>
          </w:p>
          <w:p w:rsidR="002662B0" w:rsidRPr="002662B0" w:rsidRDefault="002662B0" w:rsidP="002662B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За те же деяния, совершенные группой лиц по предварительному сговору, организованной группой лиц, сопряженные с привлечением дохода в крупном размере (свыше 1 500 000 рублей) или особо крупном ра</w:t>
            </w:r>
            <w:r w:rsidR="00057B2D">
              <w:rPr>
                <w:rFonts w:ascii="Times New Roman" w:hAnsi="Times New Roman" w:cs="Times New Roman"/>
                <w:sz w:val="25"/>
                <w:szCs w:val="25"/>
              </w:rPr>
              <w:t xml:space="preserve">змере (свыше 6 000 000 рублей) 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либо совершенные лицом с использованием своего служебного положения, предусмотрено максимальное наказание в размере до 1 500 000 рублей либо лишением свободы на срок до 6 лет</w:t>
            </w:r>
            <w:proofErr w:type="gramEnd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со штрафом в размере до 1 000 000 рублей.</w:t>
            </w:r>
          </w:p>
          <w:p w:rsidR="002662B0" w:rsidRPr="002662B0" w:rsidRDefault="002662B0" w:rsidP="002662B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Необходимо обратить внимание на то, что установка незаконного игорного оборудования на территории торгово-развлекательных учреждений, иных мест общего пользования 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недопустима. Предприниматели и представители администрации учреждений, владельцы помещений, давшие согласие или не препятствовавшие установке такого оборудования, могут быть привлечены к уголовной ответственности за соучастие в организации игорной деятельности.</w:t>
            </w:r>
          </w:p>
          <w:p w:rsidR="002662B0" w:rsidRPr="002662B0" w:rsidRDefault="002662B0" w:rsidP="002662B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В случае выявления гражданином на территории </w:t>
            </w:r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Ханты-Мансийского автономного округа – Югры признаков незаконного проведения азартных игр с использованием игрового оборудования вне игорной зоны либо с использованием информационно-телекоммуникационных сетей, в том числе сети «Интернет», а также средств связи, в том числе подвижной связи, информировать территориальные </w:t>
            </w:r>
            <w:r w:rsidRPr="002662B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органы внутренних дел</w:t>
            </w:r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УМВД России по Ханты-Мансийскому автономному округу – Югре.</w:t>
            </w:r>
            <w:proofErr w:type="gramEnd"/>
          </w:p>
          <w:p w:rsidR="002662B0" w:rsidRPr="002662B0" w:rsidRDefault="002662B0" w:rsidP="002662B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yellow"/>
                <w:lang w:eastAsia="ru-RU"/>
              </w:rPr>
            </w:pPr>
          </w:p>
          <w:p w:rsidR="002662B0" w:rsidRPr="002662B0" w:rsidRDefault="002662B0" w:rsidP="002662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Налоговые органы осуществляют лицензионный </w:t>
            </w:r>
            <w:proofErr w:type="gramStart"/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контроль за</w:t>
            </w:r>
            <w:proofErr w:type="gramEnd"/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деятельностью и проведением азартных игр в букмекерских конторах и тотализаторах. Лицензирование деятельности осуществляет ФНС России.  Широкий спектр информации в данной сфере можно получить на официальном сайте ФНС России (</w:t>
            </w:r>
            <w:hyperlink r:id="rId7" w:history="1">
              <w:r w:rsidRPr="002662B0">
                <w:rPr>
                  <w:rStyle w:val="a3"/>
                  <w:rFonts w:ascii="Times New Roman" w:eastAsia="Times New Roman" w:hAnsi="Times New Roman" w:cs="Times New Roman"/>
                  <w:color w:val="auto"/>
                  <w:sz w:val="25"/>
                  <w:szCs w:val="25"/>
                  <w:u w:val="none"/>
                  <w:lang w:val="en-US" w:eastAsia="ru-RU"/>
                </w:rPr>
                <w:t>www</w:t>
              </w:r>
              <w:r w:rsidRPr="002662B0">
                <w:rPr>
                  <w:rStyle w:val="a3"/>
                  <w:rFonts w:ascii="Times New Roman" w:eastAsia="Times New Roman" w:hAnsi="Times New Roman" w:cs="Times New Roman"/>
                  <w:color w:val="auto"/>
                  <w:sz w:val="25"/>
                  <w:szCs w:val="25"/>
                  <w:u w:val="none"/>
                  <w:lang w:eastAsia="ru-RU"/>
                </w:rPr>
                <w:t>.</w:t>
              </w:r>
              <w:proofErr w:type="spellStart"/>
              <w:r w:rsidRPr="002662B0">
                <w:rPr>
                  <w:rStyle w:val="a3"/>
                  <w:rFonts w:ascii="Times New Roman" w:eastAsia="Times New Roman" w:hAnsi="Times New Roman" w:cs="Times New Roman"/>
                  <w:color w:val="auto"/>
                  <w:sz w:val="25"/>
                  <w:szCs w:val="25"/>
                  <w:u w:val="none"/>
                  <w:lang w:val="en-US" w:eastAsia="ru-RU"/>
                </w:rPr>
                <w:t>nalog</w:t>
              </w:r>
              <w:proofErr w:type="spellEnd"/>
              <w:r w:rsidRPr="002662B0">
                <w:rPr>
                  <w:rStyle w:val="a3"/>
                  <w:rFonts w:ascii="Times New Roman" w:eastAsia="Times New Roman" w:hAnsi="Times New Roman" w:cs="Times New Roman"/>
                  <w:color w:val="auto"/>
                  <w:sz w:val="25"/>
                  <w:szCs w:val="25"/>
                  <w:u w:val="none"/>
                  <w:lang w:eastAsia="ru-RU"/>
                </w:rPr>
                <w:t>.</w:t>
              </w:r>
              <w:proofErr w:type="spellStart"/>
              <w:r w:rsidRPr="002662B0">
                <w:rPr>
                  <w:rStyle w:val="a3"/>
                  <w:rFonts w:ascii="Times New Roman" w:eastAsia="Times New Roman" w:hAnsi="Times New Roman" w:cs="Times New Roman"/>
                  <w:color w:val="auto"/>
                  <w:sz w:val="25"/>
                  <w:szCs w:val="25"/>
                  <w:u w:val="none"/>
                  <w:lang w:val="en-US" w:eastAsia="ru-RU"/>
                </w:rPr>
                <w:t>ru</w:t>
              </w:r>
              <w:proofErr w:type="spellEnd"/>
            </w:hyperlink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) в разделе иные функции ФНС России/</w:t>
            </w:r>
            <w:proofErr w:type="spellStart"/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Госрегулируемые</w:t>
            </w:r>
            <w:proofErr w:type="spellEnd"/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виды деятельности, в том числе:</w:t>
            </w:r>
          </w:p>
          <w:p w:rsidR="002662B0" w:rsidRPr="002662B0" w:rsidRDefault="002662B0" w:rsidP="002662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2662B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- сведения о получателях официальной лицензии на организацию и проведение азартных игр, в том числе в сети «Интернет»; </w:t>
            </w:r>
          </w:p>
          <w:p w:rsidR="002662B0" w:rsidRPr="002662B0" w:rsidRDefault="002662B0" w:rsidP="002662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2662B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- наличие информации о перечне лиц, в отношении которых имеются сведения об осуществлении ими деятельности по организации и проведению азартных игр с нарушением законодательства РФ.</w:t>
            </w:r>
          </w:p>
          <w:p w:rsidR="002662B0" w:rsidRPr="002662B0" w:rsidRDefault="002662B0" w:rsidP="002662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2662B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Организаторами азартных игр выступают исключительно юридические лица, зарегистрированные в установленном порядке на территории Российской Федерации.</w:t>
            </w:r>
          </w:p>
          <w:p w:rsidR="002662B0" w:rsidRPr="002662B0" w:rsidRDefault="002662B0" w:rsidP="002662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Основными видами нарушений в сфере организации азартных игр в букмекерских конторах и тотализаторах являются нарушения статьи 15 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Федерального закона от 29.12.2006 № 244-ФЗ</w:t>
            </w:r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 согласно которой запрещено осуществлять данную деятельность:</w:t>
            </w:r>
          </w:p>
          <w:p w:rsidR="002662B0" w:rsidRPr="002662B0" w:rsidRDefault="002662B0" w:rsidP="002662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в объектах жилищного фонда, объектах незавершенного строительства, во временных постройках, в киосках, под навесами и в других подобных постройках;</w:t>
            </w:r>
          </w:p>
          <w:p w:rsidR="002662B0" w:rsidRPr="002662B0" w:rsidRDefault="002662B0" w:rsidP="002662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- в зданиях, строениях, сооружениях, в которых расположены детские, образовательные, медицинские, санаторно-курортные учреждения;</w:t>
            </w:r>
          </w:p>
          <w:p w:rsidR="002662B0" w:rsidRPr="002662B0" w:rsidRDefault="002662B0" w:rsidP="002662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- в зданиях, строениях, сооружениях автовокзалов, железнодорожных вокзалов, речных вокзалов, речных портов, аэропортов, на станциях и остановках всех видов общественного транспорта (транспорта общего пользования) городского и пригородного сообщения и т.д.</w:t>
            </w:r>
          </w:p>
          <w:p w:rsidR="002662B0" w:rsidRPr="002662B0" w:rsidRDefault="002662B0" w:rsidP="002662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Также одним из видов нарушений лицензионных требований, предъявляемых к организаторам азартных игр </w:t>
            </w:r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букмекерских конторах и тотализаторах, является проведение данных игр 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с использованием сети «Интернет» и иных сре</w:t>
            </w:r>
            <w:proofErr w:type="gramStart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дств св</w:t>
            </w:r>
            <w:proofErr w:type="gramEnd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язи.</w:t>
            </w:r>
          </w:p>
          <w:p w:rsidR="002662B0" w:rsidRPr="002662B0" w:rsidRDefault="002662B0" w:rsidP="002662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В целях пресечения проведения азартных игр в сети «Интернет», создана единая автоматизированная информационная система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(далее – Единый реестр). Установить фа</w:t>
            </w:r>
            <w:proofErr w:type="gramStart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кт вкл</w:t>
            </w:r>
            <w:proofErr w:type="gramEnd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ючения/невключения доменного имени (указателя страницы сайта в сети «Интернет», сетевого адреса, позволяющего идентифицировать сайт в сети «Интернет»), возможно в Едином реестре на сайте </w:t>
            </w:r>
            <w:proofErr w:type="spellStart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Роскомнадзора</w:t>
            </w:r>
            <w:proofErr w:type="spellEnd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http://eais.rkn.gov.ru.</w:t>
            </w:r>
          </w:p>
          <w:p w:rsidR="002662B0" w:rsidRPr="002662B0" w:rsidRDefault="002662B0" w:rsidP="002662B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В случае выявления гражданином на территории </w:t>
            </w:r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Ханты-Мансийского автономного округа – Югры признаков нарушений лицензионного контроля организатором азартных игр в букмекерских конторах или пунктах приема ставок, необходимо проинформировать территориальные налоговые </w:t>
            </w:r>
            <w:r w:rsidRPr="002662B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органы </w:t>
            </w:r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Ханты-Мансийского автономного округа – Югры.</w:t>
            </w:r>
          </w:p>
          <w:p w:rsidR="002662B0" w:rsidRDefault="002662B0" w:rsidP="008547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 нарушение лицензионных требований, установленных 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Федеральным законом от 29.12.2006 № 244-ФЗ, к организаторам азартных игр </w:t>
            </w:r>
            <w:r w:rsidRPr="002662B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букмекерских конторах и тотализаторах, предусмотрена административная ответственность частями 3-5 статьи 14.1.1 и статьи 14.1.1-1 Кодекса Российской Федерации об административных правонарушениях, в виде штрафа в размере от 300 тысяч рублей до </w:t>
            </w:r>
            <w:r w:rsidRPr="002662B0">
              <w:rPr>
                <w:rFonts w:ascii="Times New Roman" w:hAnsi="Times New Roman" w:cs="Times New Roman"/>
                <w:sz w:val="25"/>
                <w:szCs w:val="25"/>
              </w:rPr>
              <w:t>1 миллиона рублей или административное приостановление деятельности на срок до девяноста суток, в зависимости</w:t>
            </w:r>
            <w:proofErr w:type="gramEnd"/>
            <w:r w:rsidRPr="002662B0">
              <w:rPr>
                <w:rFonts w:ascii="Times New Roman" w:hAnsi="Times New Roman" w:cs="Times New Roman"/>
                <w:sz w:val="25"/>
                <w:szCs w:val="25"/>
              </w:rPr>
              <w:t xml:space="preserve"> от состава совершенного деяния.</w:t>
            </w:r>
          </w:p>
        </w:tc>
      </w:tr>
    </w:tbl>
    <w:p w:rsidR="00F9505E" w:rsidRPr="0085476D" w:rsidRDefault="00F9505E" w:rsidP="008547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sectPr w:rsidR="00F9505E" w:rsidRPr="0085476D" w:rsidSect="002662B0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1A"/>
    <w:rsid w:val="00035094"/>
    <w:rsid w:val="0004142F"/>
    <w:rsid w:val="00057B2D"/>
    <w:rsid w:val="000A5DD4"/>
    <w:rsid w:val="000C551A"/>
    <w:rsid w:val="001017EA"/>
    <w:rsid w:val="00114381"/>
    <w:rsid w:val="00233502"/>
    <w:rsid w:val="002662B0"/>
    <w:rsid w:val="002916DD"/>
    <w:rsid w:val="002B28A7"/>
    <w:rsid w:val="00325DDF"/>
    <w:rsid w:val="0034567B"/>
    <w:rsid w:val="003A0D53"/>
    <w:rsid w:val="00431421"/>
    <w:rsid w:val="004567D7"/>
    <w:rsid w:val="00532A8E"/>
    <w:rsid w:val="00536F66"/>
    <w:rsid w:val="00546ABA"/>
    <w:rsid w:val="005841C9"/>
    <w:rsid w:val="00697A4A"/>
    <w:rsid w:val="006B01AA"/>
    <w:rsid w:val="006D4668"/>
    <w:rsid w:val="00724BF8"/>
    <w:rsid w:val="007B61FE"/>
    <w:rsid w:val="007E3713"/>
    <w:rsid w:val="0085476D"/>
    <w:rsid w:val="00894563"/>
    <w:rsid w:val="008C08BC"/>
    <w:rsid w:val="008F52A5"/>
    <w:rsid w:val="00906C33"/>
    <w:rsid w:val="009216FD"/>
    <w:rsid w:val="00926682"/>
    <w:rsid w:val="009D192C"/>
    <w:rsid w:val="00A077A8"/>
    <w:rsid w:val="00C01DDC"/>
    <w:rsid w:val="00C34283"/>
    <w:rsid w:val="00C554D4"/>
    <w:rsid w:val="00C55B7B"/>
    <w:rsid w:val="00C8313E"/>
    <w:rsid w:val="00CD0AC5"/>
    <w:rsid w:val="00D20DF1"/>
    <w:rsid w:val="00D2558F"/>
    <w:rsid w:val="00D87FF7"/>
    <w:rsid w:val="00EB2303"/>
    <w:rsid w:val="00ED2D9B"/>
    <w:rsid w:val="00F9505E"/>
    <w:rsid w:val="00F9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5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1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92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547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547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5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1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92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547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547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2DB55-DAA5-4886-8384-94E8C30B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Крюков Максим Викторович</dc:creator>
  <cp:keywords/>
  <dc:description/>
  <cp:lastModifiedBy>Алексеев Алексей Валентинович</cp:lastModifiedBy>
  <cp:revision>35</cp:revision>
  <cp:lastPrinted>2020-12-18T05:43:00Z</cp:lastPrinted>
  <dcterms:created xsi:type="dcterms:W3CDTF">2019-04-16T05:21:00Z</dcterms:created>
  <dcterms:modified xsi:type="dcterms:W3CDTF">2020-12-18T05:47:00Z</dcterms:modified>
</cp:coreProperties>
</file>